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1F1ABD">
        <w:rPr>
          <w:rFonts w:ascii="Times New Roman" w:hAnsi="Times New Roman"/>
          <w:i w:val="0"/>
        </w:rPr>
        <w:t>16-о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1F1ABD">
        <w:rPr>
          <w:b w:val="0"/>
          <w:sz w:val="28"/>
          <w:szCs w:val="28"/>
          <w:lang w:eastAsia="ru-RU"/>
        </w:rPr>
        <w:t>19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6764B7">
        <w:rPr>
          <w:b w:val="0"/>
          <w:sz w:val="28"/>
          <w:szCs w:val="28"/>
          <w:lang w:eastAsia="ru-RU"/>
        </w:rPr>
        <w:tab/>
      </w:r>
      <w:r w:rsidR="001F1ABD">
        <w:rPr>
          <w:b w:val="0"/>
          <w:sz w:val="28"/>
          <w:szCs w:val="28"/>
          <w:lang w:eastAsia="ru-RU"/>
        </w:rPr>
        <w:t>марта</w:t>
      </w:r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bookmarkStart w:id="0" w:name="_GoBack"/>
      <w:bookmarkEnd w:id="0"/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16"/>
        <w:gridCol w:w="3452"/>
        <w:gridCol w:w="4819"/>
      </w:tblGrid>
      <w:tr w:rsidR="001E0D41" w:rsidTr="002D65A5">
        <w:trPr>
          <w:trHeight w:val="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0D41" w:rsidRPr="00662DAD" w:rsidRDefault="001E0D41" w:rsidP="0062168C">
            <w:r>
              <w:t>036</w:t>
            </w:r>
            <w:r w:rsidR="0062168C">
              <w:t>70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62168C" w:rsidP="001E0D41">
            <w:r w:rsidRPr="006764B7">
              <w:t>Укрепление материально-техниче</w:t>
            </w:r>
            <w:r>
              <w:t>с</w:t>
            </w:r>
            <w:r w:rsidRPr="006764B7">
              <w:t>кой базы комплекса АПК «Безопасный город»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62168C" w:rsidP="001E0D41">
            <w:pPr>
              <w:jc w:val="center"/>
            </w:pPr>
            <w:r w:rsidRPr="006764B7">
              <w:t>По данному направлению расходов отражаются расходы в рамках основного мероприятия «Построение и развитие АПК «Безопасный город» подпрограммы «Построение (развитие) аппаратно-программног</w:t>
            </w:r>
            <w:r>
              <w:t>о комплекса «Безопасный город»</w:t>
            </w:r>
            <w:r w:rsidRPr="006764B7">
              <w:t xml:space="preserve"> программы «Профилактика правонарушений и обеспечение безопасности жизнедеятельности населения </w:t>
            </w:r>
            <w:r w:rsidRPr="006764B7">
              <w:lastRenderedPageBreak/>
              <w:t>на территории муниципального образования «Город Майкоп» на укрепление материально-технической базы комплекса АПК «Безопасный город»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6764B7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4E613C" w:rsidRPr="00735EF7" w:rsidTr="00F72C7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62168C">
            <w:r>
              <w:t>03</w:t>
            </w:r>
            <w:r w:rsidR="00516C84">
              <w:t>6</w:t>
            </w:r>
            <w:r w:rsidR="0062168C"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62168C" w:rsidP="006764B7">
            <w:r w:rsidRPr="0062168C">
              <w:t>Расходы на осуществление капитального ремонта и разработку проектн</w:t>
            </w:r>
            <w:r>
              <w:t>о-</w:t>
            </w:r>
            <w:r w:rsidRPr="0062168C">
              <w:t>сметной документации спортивных площадок (футбольных полей) автономных учреждений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62168C" w:rsidP="00F933E0">
            <w:pPr>
              <w:jc w:val="center"/>
            </w:pPr>
            <w:r w:rsidRPr="0062168C">
              <w:t>По данному направлению расходов отражаются расходы в рамках основного мероприятия  «Мероприятия по развитию физкультурно-спортивной инфраструктуры в городе Майкопе» подпрограммы «Развитие физической культуры и массового спорта»  программы «Развитие физической культуры и спорта, формирование здорового образа жизни населения муниципального образования «Город Майкоп» на осуществление капитального ремонта и разработку проектно-сметной документации спортивных площадок (футбольных полей) автономных учреждений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4113B5">
        <w:rPr>
          <w:sz w:val="28"/>
          <w:szCs w:val="28"/>
          <w:lang w:eastAsia="ar-SA"/>
        </w:rPr>
        <w:t>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6216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н</w:t>
      </w:r>
      <w:r w:rsidR="00923B92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О.Д. Семилетова</w:t>
      </w:r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DB56-58D0-4BE7-9751-88378248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7294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745</cp:revision>
  <cp:lastPrinted>2025-03-18T14:32:00Z</cp:lastPrinted>
  <dcterms:created xsi:type="dcterms:W3CDTF">2015-12-17T11:19:00Z</dcterms:created>
  <dcterms:modified xsi:type="dcterms:W3CDTF">2025-03-19T11:12:00Z</dcterms:modified>
</cp:coreProperties>
</file>